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40"/>
        <w:ind w:left="426" w:hanging="426"/>
        <w:jc w:val="left"/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  <w:t>Secteur agronomie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Formations agronomiques des secteurs verts de Gembloux</w:t>
      </w:r>
    </w:p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40"/>
        <w:ind w:left="425" w:hanging="425"/>
        <w:jc w:val="left"/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  <w:t>Secteur construction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2.1.</w:t>
      </w: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ab/>
        <w:t>Bois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Bois-Ecoconstruction de Comines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Bois-PVC-Alu de Liège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Charpente et ossature bois de Morlanwelz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2.2.</w:t>
      </w: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ab/>
        <w:t>Equipement du bâtiment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color w:val="000000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Energies vertes et renouvelables d’Anderlecht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 xml:space="preserve">CTA Serge </w:t>
      </w:r>
      <w:proofErr w:type="spellStart"/>
      <w:r>
        <w:rPr>
          <w:rFonts w:ascii="Roboto" w:eastAsia="Times New Roman" w:hAnsi="Roboto" w:cs="Calibri"/>
          <w:sz w:val="24"/>
          <w:szCs w:val="24"/>
          <w:lang w:eastAsia="fr-BE"/>
        </w:rPr>
        <w:t>Journé</w:t>
      </w:r>
      <w:proofErr w:type="spellEnd"/>
      <w:r>
        <w:rPr>
          <w:rFonts w:ascii="Roboto" w:eastAsia="Times New Roman" w:hAnsi="Roboto" w:cs="Calibri"/>
          <w:sz w:val="24"/>
          <w:szCs w:val="24"/>
          <w:lang w:eastAsia="fr-BE"/>
        </w:rPr>
        <w:t xml:space="preserve"> en Maintenance des équipements énergétiques d’Ath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Equipements techniques du bâtiment de Ciney (pour partie)</w:t>
      </w:r>
    </w:p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40"/>
        <w:ind w:left="425" w:hanging="425"/>
        <w:jc w:val="left"/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  <w:t>Secteur hôtellerie – restauration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Boulangerie – Chocolaterie – Pâtisserie – Glacerie – Hôtellerie – Restauration de salle d’Anderlecht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Expertise scientifique au service des métiers de l'alimentation de Libramont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Métiers de bouche de Liège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Gestion hôtelière de Namur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Formations dans le domaine de l’agro-alimentaire de Tournai</w:t>
      </w:r>
    </w:p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40"/>
        <w:ind w:left="425" w:hanging="425"/>
        <w:jc w:val="left"/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  <w:t>Secteur industrie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4.1.</w:t>
      </w: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ab/>
        <w:t>Automation – maintenance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Automation de Liège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Serge Creuz en Chaines de production, automates programmables (API), électropneumatique, électronique, robotique d’Anderlecht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Maintenance de systèmes automatisés industriels de Virton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4.2.</w:t>
      </w: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ab/>
        <w:t>Industries graphiques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Infographie et industries graphiques de Bruxelles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Industries graphiques de Flémalle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Conception et création 2D-3D de Liège</w:t>
      </w:r>
    </w:p>
    <w:p>
      <w:pPr>
        <w:spacing w:after="160" w:line="259" w:lineRule="auto"/>
        <w:ind w:left="0" w:firstLine="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Songti SC" w:hAnsi="Roboto" w:cs="Calibri"/>
          <w:kern w:val="2"/>
          <w:sz w:val="24"/>
          <w:szCs w:val="24"/>
          <w:lang w:val="fr-FR" w:eastAsia="zh-CN" w:bidi="hi-IN"/>
        </w:rPr>
        <w:br w:type="page"/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lastRenderedPageBreak/>
        <w:t>4.3.</w:t>
      </w: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ab/>
        <w:t>Mécanique automobile – carrosserie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Mécanique des moteurs de Leuze-en-Hainaut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Véhicules écologiques de Mons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Mécanique – carrosserie de Namur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4.4.</w:t>
      </w: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ab/>
        <w:t>Mécanique appliquée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 xml:space="preserve">CTA Serge </w:t>
      </w:r>
      <w:proofErr w:type="spellStart"/>
      <w:r>
        <w:rPr>
          <w:rFonts w:ascii="Roboto" w:eastAsia="Times New Roman" w:hAnsi="Roboto" w:cs="Calibri"/>
          <w:sz w:val="24"/>
          <w:szCs w:val="24"/>
          <w:lang w:eastAsia="fr-BE"/>
        </w:rPr>
        <w:t>Journé</w:t>
      </w:r>
      <w:proofErr w:type="spellEnd"/>
      <w:r>
        <w:rPr>
          <w:rFonts w:ascii="Roboto" w:eastAsia="Times New Roman" w:hAnsi="Roboto" w:cs="Calibri"/>
          <w:sz w:val="24"/>
          <w:szCs w:val="24"/>
          <w:lang w:eastAsia="fr-BE"/>
        </w:rPr>
        <w:t xml:space="preserve"> en Maintenance des équipements énergétiques d’Ath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Electricité résidentielle et industrielle, domotique, technique du froid, hydraulique de Bruxelles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Mécanique appliquée de Charleroi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Travail de la tôle de Marche-en-Famenne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CNC – Usinage de Soumagne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4.5. Domotique – immotique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color w:val="000000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Electricité résidentielle et industrielle, domotique, technique du froid, hydraulique de Bruxelles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color w:val="000000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Domotique – immotique de Charleroi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Equipements techniques du bâtiment de Ciney (pour partie)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4.6. Electricité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color w:val="000000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Electricité résidentielle et industrielle, domotique, technique du froid, hydraulique de Bruxelles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Equipements techniques du bâtiment de Ciney (pour partie)</w:t>
      </w:r>
    </w:p>
    <w:p>
      <w:pPr>
        <w:widowControl w:val="0"/>
        <w:autoSpaceDE w:val="0"/>
        <w:autoSpaceDN w:val="0"/>
        <w:adjustRightInd w:val="0"/>
        <w:ind w:left="0" w:firstLine="0"/>
        <w:rPr>
          <w:rFonts w:ascii="Roboto" w:eastAsia="Times New Roman" w:hAnsi="Roboto" w:cs="Calibri"/>
          <w:b/>
          <w:bCs/>
          <w:sz w:val="24"/>
          <w:szCs w:val="24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lang w:eastAsia="fr-BE"/>
        </w:rPr>
        <w:t>4.7. Techniques du froid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Equipements techniques du bâtiment de Ciney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Electricité résidentielle et industrielle, domotique, technique du froid, hydraulique de Bruxelles (pour partie)</w:t>
      </w:r>
    </w:p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40"/>
        <w:ind w:left="425" w:hanging="425"/>
        <w:jc w:val="left"/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  <w:t>Secteur sciences appliquées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Expertise scientifique au service des métiers de l'alimentation de Libramont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Véhicules écologiques de Mons (pour partie)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Sciences appliquées de Namur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Chimie de Schaerbeek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  <w:rPr>
          <w:rFonts w:ascii="Roboto" w:eastAsia="Times New Roman" w:hAnsi="Roboto" w:cs="Calibri"/>
          <w:sz w:val="24"/>
          <w:szCs w:val="24"/>
          <w:lang w:eastAsia="fr-BE"/>
        </w:rPr>
      </w:pPr>
      <w:r>
        <w:rPr>
          <w:rFonts w:ascii="Roboto" w:eastAsia="Times New Roman" w:hAnsi="Roboto" w:cs="Calibri"/>
          <w:sz w:val="24"/>
          <w:szCs w:val="24"/>
          <w:lang w:eastAsia="fr-BE"/>
        </w:rPr>
        <w:t>CTA Environnement de Waremme</w:t>
      </w:r>
    </w:p>
    <w:p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40"/>
        <w:ind w:left="425" w:hanging="425"/>
        <w:jc w:val="left"/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</w:pPr>
      <w:r>
        <w:rPr>
          <w:rFonts w:ascii="Roboto" w:eastAsia="Times New Roman" w:hAnsi="Roboto" w:cs="Calibri"/>
          <w:b/>
          <w:bCs/>
          <w:sz w:val="24"/>
          <w:szCs w:val="24"/>
          <w:u w:val="single"/>
          <w:lang w:eastAsia="fr-BE"/>
        </w:rPr>
        <w:t>Secteur Services aux personnes</w:t>
      </w:r>
    </w:p>
    <w:p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40"/>
        <w:jc w:val="left"/>
      </w:pPr>
      <w:r>
        <w:rPr>
          <w:rFonts w:ascii="Roboto" w:eastAsia="Times New Roman" w:hAnsi="Roboto" w:cs="Calibri"/>
          <w:sz w:val="24"/>
          <w:szCs w:val="24"/>
          <w:lang w:eastAsia="fr-BE"/>
        </w:rPr>
        <w:t>CTA Mini hôpital – Puériculture – Service aux personnes de Bruxelles</w:t>
      </w:r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4D07"/>
    <w:multiLevelType w:val="hybridMultilevel"/>
    <w:tmpl w:val="BDD08E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51A28"/>
    <w:multiLevelType w:val="hybridMultilevel"/>
    <w:tmpl w:val="2F96F050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F6F48-97B7-43F7-BF4C-21288721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20"/>
        <w:ind w:left="1134" w:hanging="113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2024-02-02T13:15:00Z</dcterms:created>
  <dcterms:modified xsi:type="dcterms:W3CDTF">2024-02-02T13:15:00Z</dcterms:modified>
</cp:coreProperties>
</file>